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UBA-TabellenformatThemaGesundhei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4678"/>
      </w:tblGrid>
      <w:tr w:rsidR="006A1788" w:rsidRPr="00CB57D4" w:rsidTr="006A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F13397" w:rsidRPr="00EC5811" w:rsidRDefault="00F13397" w:rsidP="006A1788">
            <w:pPr>
              <w:pStyle w:val="HeadTabelle"/>
              <w:spacing w:before="120"/>
            </w:pPr>
            <w:bookmarkStart w:id="0" w:name="_GoBack"/>
            <w:bookmarkEnd w:id="0"/>
            <w:r w:rsidRPr="00EC5811">
              <w:t>B</w:t>
            </w:r>
            <w:r w:rsidR="00CB57D4" w:rsidRPr="00EC5811">
              <w:t>EREICH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shd w:val="clear" w:color="auto" w:fill="auto"/>
          </w:tcPr>
          <w:p w:rsidR="00F13397" w:rsidRPr="00EC5811" w:rsidRDefault="00F13397" w:rsidP="006A1788">
            <w:pPr>
              <w:pStyle w:val="HeadTabelle"/>
              <w:spacing w:before="120"/>
            </w:pPr>
            <w:r w:rsidRPr="00EC5811">
              <w:t>B</w:t>
            </w:r>
            <w:r w:rsidR="00CB57D4" w:rsidRPr="00EC5811">
              <w:t>ETRACHTUNGSEBENE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</w:tcPr>
          <w:p w:rsidR="00F13397" w:rsidRPr="00EC5811" w:rsidRDefault="00CB57D4" w:rsidP="006A1788">
            <w:pPr>
              <w:pStyle w:val="HeadTabelle"/>
              <w:spacing w:before="120"/>
            </w:pPr>
            <w:r w:rsidRPr="00EC5811">
              <w:t>INDIKATOR</w:t>
            </w:r>
          </w:p>
        </w:tc>
      </w:tr>
      <w:tr w:rsidR="00E64445" w:rsidRPr="008534D2" w:rsidTr="006A1788">
        <w:tc>
          <w:tcPr>
            <w:tcW w:w="1701" w:type="dxa"/>
            <w:vMerge w:val="restart"/>
            <w:tcBorders>
              <w:top w:val="dashed" w:sz="4" w:space="0" w:color="auto"/>
            </w:tcBorders>
          </w:tcPr>
          <w:p w:rsidR="00E64445" w:rsidRPr="00B667F8" w:rsidRDefault="00E64445" w:rsidP="006A1788">
            <w:pPr>
              <w:pStyle w:val="Tabellentextnormal"/>
              <w:spacing w:before="120" w:after="80"/>
              <w:rPr>
                <w:b/>
              </w:rPr>
            </w:pPr>
            <w:r w:rsidRPr="00B667F8">
              <w:rPr>
                <w:b/>
              </w:rPr>
              <w:t>Soziale Lage</w:t>
            </w: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E64445" w:rsidRPr="00B667F8" w:rsidRDefault="00E64445" w:rsidP="006A1788">
            <w:pPr>
              <w:pStyle w:val="Tabellentextnormal"/>
              <w:spacing w:before="120" w:after="80"/>
              <w:rPr>
                <w:b/>
              </w:rPr>
            </w:pPr>
            <w:r w:rsidRPr="00B667F8">
              <w:t xml:space="preserve">Gesamtstädtische </w:t>
            </w:r>
            <w:r>
              <w:br/>
            </w:r>
            <w:r w:rsidRPr="00B667F8">
              <w:t>kleinräumige Betrachtung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 w:after="80"/>
              <w:rPr>
                <w:b/>
              </w:rPr>
            </w:pPr>
            <w:r w:rsidRPr="008534D2">
              <w:t>Anteil der Langzeitarbeitslosen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 w:after="80"/>
            </w:pPr>
          </w:p>
        </w:tc>
        <w:tc>
          <w:tcPr>
            <w:tcW w:w="3119" w:type="dxa"/>
            <w:vMerge w:val="restart"/>
          </w:tcPr>
          <w:p w:rsidR="00E64445" w:rsidRPr="008534D2" w:rsidRDefault="00E64445" w:rsidP="006A1788">
            <w:pPr>
              <w:pStyle w:val="Tabellentextnormal"/>
              <w:spacing w:before="120" w:after="8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 w:after="80"/>
              <w:rPr>
                <w:b/>
              </w:rPr>
            </w:pPr>
            <w:r w:rsidRPr="008534D2">
              <w:t>Anteil der erwerbstätigen SGB II-Empfänger/innen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 w:after="80"/>
            </w:pPr>
          </w:p>
        </w:tc>
        <w:tc>
          <w:tcPr>
            <w:tcW w:w="3119" w:type="dxa"/>
            <w:vMerge/>
          </w:tcPr>
          <w:p w:rsidR="00E64445" w:rsidRPr="008534D2" w:rsidRDefault="00E64445" w:rsidP="006A1788">
            <w:pPr>
              <w:pStyle w:val="Tabellentextnormal"/>
              <w:spacing w:before="120" w:after="8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 w:after="80"/>
              <w:rPr>
                <w:b/>
              </w:rPr>
            </w:pPr>
            <w:r w:rsidRPr="008534D2">
              <w:t xml:space="preserve">Anteil der Kinderarmut 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 w:after="80"/>
            </w:pPr>
          </w:p>
        </w:tc>
        <w:tc>
          <w:tcPr>
            <w:tcW w:w="3119" w:type="dxa"/>
            <w:vMerge/>
            <w:tcBorders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 w:after="8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 w:after="80"/>
              <w:rPr>
                <w:b/>
              </w:rPr>
            </w:pPr>
            <w:r w:rsidRPr="008534D2">
              <w:t>Anteil der Jugendarbeitslosigkeit</w:t>
            </w:r>
          </w:p>
        </w:tc>
      </w:tr>
      <w:tr w:rsidR="00E64445" w:rsidRPr="008534D2" w:rsidTr="006A1788"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 w:after="80"/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 w:after="80"/>
              <w:rPr>
                <w:b/>
              </w:rPr>
            </w:pPr>
            <w:r w:rsidRPr="008534D2">
              <w:t xml:space="preserve">Vertiefende </w:t>
            </w:r>
            <w:r>
              <w:br/>
            </w:r>
            <w:r w:rsidRPr="008534D2">
              <w:t>teilräumliche Betrachtung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 w:after="80"/>
              <w:rPr>
                <w:b/>
              </w:rPr>
            </w:pPr>
            <w:r w:rsidRPr="008534D2">
              <w:t>Übergangsquote aufs Gymnasium Schulentlassene ohne Bildungsabschluss</w:t>
            </w:r>
          </w:p>
        </w:tc>
      </w:tr>
      <w:tr w:rsidR="00E64445" w:rsidRPr="008534D2" w:rsidTr="00A95446">
        <w:trPr>
          <w:trHeight w:val="351"/>
        </w:trPr>
        <w:tc>
          <w:tcPr>
            <w:tcW w:w="1701" w:type="dxa"/>
            <w:vMerge w:val="restart"/>
            <w:tcBorders>
              <w:top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</w:pPr>
            <w:r w:rsidRPr="00A450C5">
              <w:rPr>
                <w:rStyle w:val="Fett"/>
              </w:rPr>
              <w:t>Umwelt</w:t>
            </w:r>
          </w:p>
        </w:tc>
        <w:tc>
          <w:tcPr>
            <w:tcW w:w="3119" w:type="dxa"/>
            <w:vMerge w:val="restart"/>
            <w:tcBorders>
              <w:top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 xml:space="preserve">Gesamtstädtische </w:t>
            </w:r>
            <w:r>
              <w:br/>
            </w:r>
            <w:r w:rsidRPr="008534D2">
              <w:t>kleinräumige Betrachtung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 xml:space="preserve">Belastung durch Straßenverkehrslärm </w:t>
            </w:r>
            <w:r>
              <w:br/>
            </w:r>
            <w:r w:rsidRPr="008534D2">
              <w:t xml:space="preserve">(Tag-Abend-Nacht-Lärmindex </w:t>
            </w:r>
            <w:proofErr w:type="spellStart"/>
            <w:r w:rsidRPr="008534D2">
              <w:t>L</w:t>
            </w:r>
            <w:r w:rsidRPr="008534D2">
              <w:rPr>
                <w:vertAlign w:val="subscript"/>
              </w:rPr>
              <w:t>den</w:t>
            </w:r>
            <w:proofErr w:type="spellEnd"/>
            <w:r w:rsidRPr="008534D2">
              <w:t>)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>Belastung durch Feinstaub PM</w:t>
            </w:r>
            <w:r w:rsidRPr="008534D2">
              <w:rPr>
                <w:vertAlign w:val="subscript"/>
              </w:rPr>
              <w:t>10</w:t>
            </w:r>
            <w:r w:rsidRPr="008534D2">
              <w:t xml:space="preserve"> im Jahresmittel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>Belastung durch Stickstoffdioxid NO</w:t>
            </w:r>
            <w:r w:rsidRPr="008534D2">
              <w:rPr>
                <w:vertAlign w:val="subscript"/>
              </w:rPr>
              <w:t>2</w:t>
            </w:r>
            <w:r w:rsidRPr="008534D2">
              <w:t xml:space="preserve"> im Jahresmittel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/>
            <w:tcBorders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>Anteil an öffentlichen Grünflächen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 w:val="restart"/>
            <w:tcBorders>
              <w:top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 xml:space="preserve">Vertiefende </w:t>
            </w:r>
            <w:r>
              <w:br/>
            </w:r>
            <w:r w:rsidRPr="008534D2">
              <w:t>teilräumliche Betrachtung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 xml:space="preserve">Belastung durch weitere Lärmquellen wie Schienen-, Flug-, Industrie- und Gewerbelärm 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 xml:space="preserve">Geschätzte Anzahl der Menschen, die in lärmbetroffenen Gebieten (Straßenverkehrslärm und ggf. Gesamtlärm) leben 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 xml:space="preserve">Kleinräumige Lärmverteilung </w:t>
            </w:r>
            <w:r>
              <w:br/>
            </w:r>
            <w:r w:rsidRPr="008534D2">
              <w:t>(gebäudescharfe Bewertung)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ind w:right="-318"/>
              <w:rPr>
                <w:b/>
              </w:rPr>
            </w:pPr>
            <w:r w:rsidRPr="008534D2">
              <w:t>Qualität öffentlicher Grünflächen</w:t>
            </w:r>
            <w:r w:rsidRPr="008534D2" w:rsidDel="00112247">
              <w:t xml:space="preserve"> </w:t>
            </w:r>
            <w:r>
              <w:br/>
            </w:r>
            <w:r w:rsidRPr="008534D2">
              <w:t>(Zugänglichkeit, Ausstattung, Sicherheit, Sauberkeit, Pflegezustand, Umweltbelastung)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>Überwärmungsgebiete bzw. Gebiete mit Überwärmungspotenzial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>Bebauungsdichte (Grundflächenzahl)</w:t>
            </w:r>
          </w:p>
        </w:tc>
      </w:tr>
      <w:tr w:rsidR="00E64445" w:rsidRPr="008534D2" w:rsidTr="006A1788"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/>
            <w:tcBorders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>Lichtimmissionen künstlicher Beleuchtungsanlagen (mittlere Beleuchtungsstärke in der Fensterebene)</w:t>
            </w:r>
          </w:p>
        </w:tc>
      </w:tr>
      <w:tr w:rsidR="00E64445" w:rsidRPr="008534D2" w:rsidTr="006A1788">
        <w:tc>
          <w:tcPr>
            <w:tcW w:w="1701" w:type="dxa"/>
            <w:vMerge w:val="restart"/>
            <w:tcBorders>
              <w:top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</w:pPr>
            <w:r w:rsidRPr="00865DCE">
              <w:rPr>
                <w:rStyle w:val="Fett"/>
              </w:rPr>
              <w:t>Gesundheit</w:t>
            </w:r>
          </w:p>
        </w:tc>
        <w:tc>
          <w:tcPr>
            <w:tcW w:w="3119" w:type="dxa"/>
            <w:vMerge w:val="restart"/>
            <w:tcBorders>
              <w:top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 xml:space="preserve">Gesamtstädtische </w:t>
            </w:r>
            <w:r>
              <w:br/>
            </w:r>
            <w:r w:rsidRPr="008534D2">
              <w:t>kleinräumige Betrachtung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>Häufigkeit des Auftretens von Adipositas und Übergewicht bei Schuleingangsuntersuchungen</w:t>
            </w:r>
          </w:p>
        </w:tc>
      </w:tr>
      <w:tr w:rsidR="00E64445" w:rsidRPr="008534D2" w:rsidTr="006A1788">
        <w:tc>
          <w:tcPr>
            <w:tcW w:w="1701" w:type="dxa"/>
            <w:vMerge/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vMerge/>
            <w:tcBorders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>Häufigkeit des Auftretens von grobmotorischen Störungen bei Schuleingangsuntersuchungen</w:t>
            </w:r>
          </w:p>
        </w:tc>
      </w:tr>
      <w:tr w:rsidR="00E64445" w:rsidRPr="008534D2" w:rsidTr="002B4817">
        <w:trPr>
          <w:trHeight w:val="374"/>
        </w:trPr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>Vertiefende teilräumliche Betrachtung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E64445" w:rsidRPr="008534D2" w:rsidRDefault="00E64445" w:rsidP="006A1788">
            <w:pPr>
              <w:pStyle w:val="Tabellentextnormal"/>
              <w:spacing w:before="120"/>
              <w:rPr>
                <w:b/>
              </w:rPr>
            </w:pPr>
            <w:r w:rsidRPr="008534D2">
              <w:t>Daten zu belastungsspezifischen Krankheiten aus Einzelstudien</w:t>
            </w:r>
          </w:p>
        </w:tc>
      </w:tr>
    </w:tbl>
    <w:p w:rsidR="00F13397" w:rsidRDefault="00F13397" w:rsidP="002B4817">
      <w:pPr>
        <w:spacing w:after="200" w:line="276" w:lineRule="auto"/>
        <w:jc w:val="left"/>
        <w:rPr>
          <w:rFonts w:cs="Arial"/>
          <w:color w:val="auto"/>
        </w:rPr>
      </w:pPr>
    </w:p>
    <w:sectPr w:rsidR="00F13397" w:rsidSect="002B4817">
      <w:headerReference w:type="default" r:id="rId8"/>
      <w:pgSz w:w="11906" w:h="16838" w:code="9"/>
      <w:pgMar w:top="2835" w:right="102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01" w:rsidRDefault="00262A01" w:rsidP="0048155F">
      <w:pPr>
        <w:spacing w:after="0" w:line="240" w:lineRule="auto"/>
      </w:pPr>
      <w:r>
        <w:separator/>
      </w:r>
    </w:p>
  </w:endnote>
  <w:endnote w:type="continuationSeparator" w:id="0">
    <w:p w:rsidR="00262A01" w:rsidRDefault="00262A01" w:rsidP="004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-RegularCondensed">
    <w:altName w:val="Arial Narrow"/>
    <w:panose1 w:val="00000000000000000000"/>
    <w:charset w:val="00"/>
    <w:family w:val="auto"/>
    <w:notTrueType/>
    <w:pitch w:val="variable"/>
    <w:sig w:usb0="80000027" w:usb1="00000040" w:usb2="00000000" w:usb3="00000000" w:csb0="00000001" w:csb1="00000000"/>
  </w:font>
  <w:font w:name="Interstate Regular Cond">
    <w:altName w:val="Calibri"/>
    <w:charset w:val="00"/>
    <w:family w:val="auto"/>
    <w:pitch w:val="variable"/>
    <w:sig w:usb0="800000EF" w:usb1="5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01" w:rsidRDefault="00262A01" w:rsidP="0048155F">
      <w:pPr>
        <w:spacing w:after="0" w:line="240" w:lineRule="auto"/>
      </w:pPr>
      <w:r>
        <w:separator/>
      </w:r>
    </w:p>
  </w:footnote>
  <w:footnote w:type="continuationSeparator" w:id="0">
    <w:p w:rsidR="00262A01" w:rsidRDefault="00262A01" w:rsidP="004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5F" w:rsidRDefault="00386FF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6852285</wp:posOffset>
              </wp:positionH>
              <wp:positionV relativeFrom="paragraph">
                <wp:posOffset>654685</wp:posOffset>
              </wp:positionV>
              <wp:extent cx="914400" cy="914400"/>
              <wp:effectExtent l="0" t="0" r="12700" b="1270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386FF5" w:rsidRDefault="00386FF5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539.55pt;margin-top:51.5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" fillcolor="white [3201]" strokeweight=".5pt">
              <v:textbox>
                <w:txbxContent>
                  <w:p w:rsidR="00386FF5" w:rsidRDefault="00386FF5"/>
                </w:txbxContent>
              </v:textbox>
            </v:shape>
          </w:pict>
        </mc:Fallback>
      </mc:AlternateContent>
    </w:r>
    <w:r w:rsidR="00865D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486410</wp:posOffset>
              </wp:positionH>
              <wp:positionV relativeFrom="paragraph">
                <wp:posOffset>527685</wp:posOffset>
              </wp:positionV>
              <wp:extent cx="5581650" cy="723900"/>
              <wp:effectExtent l="0" t="0" r="635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82BB9" w:rsidRPr="00082BB9" w:rsidRDefault="00082BB9" w:rsidP="00386FF5">
                          <w:pPr>
                            <w:pStyle w:val="UntertitelCheckliste"/>
                          </w:pPr>
                          <w:r w:rsidRPr="00082BB9">
                            <w:t>Checkliste •</w:t>
                          </w:r>
                          <w:r w:rsidR="002755AD">
                            <w:tab/>
                          </w:r>
                          <w:r w:rsidRPr="00082BB9">
                            <w:t>Indikatoren Umweltgerechtigkeit</w:t>
                          </w:r>
                        </w:p>
                        <w:p w:rsidR="00082BB9" w:rsidRPr="00082BB9" w:rsidRDefault="00082BB9" w:rsidP="00386FF5">
                          <w:pPr>
                            <w:pStyle w:val="UntertitelCheckliste"/>
                          </w:pPr>
                        </w:p>
                        <w:p w:rsidR="00082BB9" w:rsidRPr="00082BB9" w:rsidRDefault="00082BB9" w:rsidP="00386FF5">
                          <w:pPr>
                            <w:pStyle w:val="UntertitelCheckliste"/>
                          </w:pPr>
                        </w:p>
                        <w:p w:rsidR="00082BB9" w:rsidRPr="00082BB9" w:rsidRDefault="00082BB9" w:rsidP="00386FF5">
                          <w:pPr>
                            <w:pStyle w:val="UntertitelCheckliste"/>
                          </w:pPr>
                          <w:r w:rsidRPr="00082BB9">
                            <w:t>Checkliste • Indikatoren Umweltgerechtigkeit</w:t>
                          </w:r>
                        </w:p>
                        <w:p w:rsidR="00082BB9" w:rsidRPr="00082BB9" w:rsidRDefault="00082BB9" w:rsidP="00386FF5">
                          <w:pPr>
                            <w:pStyle w:val="UntertitelCheckl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feld 2" o:spid="_x0000_s1027" type="#_x0000_t202" style="position:absolute;left:0;text-align:left;margin-left:38.3pt;margin-top:41.55pt;width:439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" filled="f" stroked="f" strokeweight=".5pt">
              <v:textbox inset="0,5mm,0,0">
                <w:txbxContent>
                  <w:p w:rsidR="00082BB9" w:rsidRPr="00082BB9" w:rsidRDefault="00082BB9" w:rsidP="00386FF5">
                    <w:pPr>
                      <w:pStyle w:val="UntertitelCheckliste"/>
                    </w:pPr>
                    <w:r w:rsidRPr="00082BB9">
                      <w:t>Checkliste •</w:t>
                    </w:r>
                    <w:r w:rsidR="002755AD">
                      <w:tab/>
                    </w:r>
                    <w:r w:rsidRPr="00082BB9">
                      <w:t>Indikatoren Umweltgerechtigkeit</w:t>
                    </w:r>
                  </w:p>
                  <w:p w:rsidR="00082BB9" w:rsidRPr="00082BB9" w:rsidRDefault="00082BB9" w:rsidP="00386FF5">
                    <w:pPr>
                      <w:pStyle w:val="UntertitelCheckliste"/>
                    </w:pPr>
                  </w:p>
                  <w:p w:rsidR="00082BB9" w:rsidRPr="00082BB9" w:rsidRDefault="00082BB9" w:rsidP="00386FF5">
                    <w:pPr>
                      <w:pStyle w:val="UntertitelCheckliste"/>
                    </w:pPr>
                  </w:p>
                  <w:p w:rsidR="00082BB9" w:rsidRPr="00082BB9" w:rsidRDefault="00082BB9" w:rsidP="00386FF5">
                    <w:pPr>
                      <w:pStyle w:val="UntertitelCheckliste"/>
                    </w:pPr>
                    <w:r w:rsidRPr="00082BB9">
                      <w:t>Checkliste • Indikatoren Umweltgerechtigkeit</w:t>
                    </w:r>
                  </w:p>
                  <w:p w:rsidR="00082BB9" w:rsidRPr="00082BB9" w:rsidRDefault="00082BB9" w:rsidP="00386FF5">
                    <w:pPr>
                      <w:pStyle w:val="UntertitelCheckliste"/>
                    </w:pPr>
                  </w:p>
                </w:txbxContent>
              </v:textbox>
            </v:shape>
          </w:pict>
        </mc:Fallback>
      </mc:AlternateContent>
    </w:r>
    <w:r w:rsidR="006A178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-442595</wp:posOffset>
          </wp:positionV>
          <wp:extent cx="7560000" cy="10710000"/>
          <wp:effectExtent l="0" t="0" r="0" b="0"/>
          <wp:wrapNone/>
          <wp:docPr id="4" name="Grafik 4" title="Daten und Informationen - Umweltgerecht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ly_difu_Umweltgerechtigkeit–Checklisten_0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97"/>
    <w:rsid w:val="00082BB9"/>
    <w:rsid w:val="000B7480"/>
    <w:rsid w:val="001060C3"/>
    <w:rsid w:val="001F3734"/>
    <w:rsid w:val="00262A01"/>
    <w:rsid w:val="002755AD"/>
    <w:rsid w:val="002B4817"/>
    <w:rsid w:val="00386FF5"/>
    <w:rsid w:val="0048155F"/>
    <w:rsid w:val="006A1788"/>
    <w:rsid w:val="0085118D"/>
    <w:rsid w:val="00851DC3"/>
    <w:rsid w:val="00865DCE"/>
    <w:rsid w:val="00A450C5"/>
    <w:rsid w:val="00A95446"/>
    <w:rsid w:val="00B667F8"/>
    <w:rsid w:val="00C77EE8"/>
    <w:rsid w:val="00CB57D4"/>
    <w:rsid w:val="00D40E65"/>
    <w:rsid w:val="00DB786B"/>
    <w:rsid w:val="00DF4473"/>
    <w:rsid w:val="00E64445"/>
    <w:rsid w:val="00EC5811"/>
    <w:rsid w:val="00F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3397"/>
    <w:pPr>
      <w:spacing w:after="140" w:line="260" w:lineRule="exact"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A45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3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39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customStyle="1" w:styleId="Tabellentext">
    <w:name w:val="Tabellentext"/>
    <w:basedOn w:val="Textkrper"/>
    <w:link w:val="TabellentextZchn"/>
    <w:autoRedefine/>
    <w:uiPriority w:val="99"/>
    <w:rsid w:val="00F13397"/>
    <w:pPr>
      <w:keepLines/>
      <w:spacing w:before="20" w:line="240" w:lineRule="auto"/>
      <w:jc w:val="left"/>
    </w:pPr>
    <w:rPr>
      <w:rFonts w:ascii="Interstate-RegularCondensed" w:hAnsi="Interstate-RegularCondensed"/>
      <w:b/>
      <w:szCs w:val="24"/>
    </w:rPr>
  </w:style>
  <w:style w:type="character" w:customStyle="1" w:styleId="TabellentextZchn">
    <w:name w:val="Tabellentext Zchn"/>
    <w:basedOn w:val="TextkrperZchn"/>
    <w:link w:val="Tabellentext"/>
    <w:uiPriority w:val="99"/>
    <w:rsid w:val="00F13397"/>
    <w:rPr>
      <w:rFonts w:ascii="Interstate-RegularCondensed" w:eastAsia="Times New Roman" w:hAnsi="Interstate-RegularCondensed" w:cs="Times New Roman"/>
      <w:b/>
      <w:color w:val="000000"/>
      <w:sz w:val="20"/>
      <w:szCs w:val="24"/>
      <w:lang w:eastAsia="de-DE"/>
    </w:rPr>
  </w:style>
  <w:style w:type="table" w:customStyle="1" w:styleId="UBA-TabellenformatThemaGesundheit">
    <w:name w:val="UBA-Tabellenformat Thema &quot;Gesundheit&quot;"/>
    <w:basedOn w:val="NormaleTabelle"/>
    <w:uiPriority w:val="99"/>
    <w:qFormat/>
    <w:rsid w:val="00F13397"/>
    <w:pPr>
      <w:spacing w:after="20" w:line="240" w:lineRule="auto"/>
    </w:pPr>
    <w:rPr>
      <w:rFonts w:ascii="Interstate-RegularCondensed" w:eastAsia="Times New Roman" w:hAnsi="Interstate-RegularCondensed" w:cs="Times New Roman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  <w:tblStylePr w:type="firstRow">
      <w:rPr>
        <w:rFonts w:ascii="Interstate Regular Cond" w:hAnsi="Interstate Regular Cond"/>
        <w:color w:val="auto"/>
        <w:sz w:val="22"/>
      </w:rPr>
      <w:tblPr/>
      <w:trPr>
        <w:tblHeader/>
      </w:trPr>
      <w:tcPr>
        <w:shd w:val="clear" w:color="auto" w:fill="005BAA"/>
      </w:tcPr>
    </w:tblStylePr>
  </w:style>
  <w:style w:type="paragraph" w:customStyle="1" w:styleId="TabellentextKopfzeile">
    <w:name w:val="Tabellentext Kopfzeile"/>
    <w:basedOn w:val="Standard"/>
    <w:autoRedefine/>
    <w:uiPriority w:val="99"/>
    <w:rsid w:val="00F13397"/>
    <w:pPr>
      <w:keepLines/>
      <w:spacing w:after="120" w:line="240" w:lineRule="auto"/>
      <w:jc w:val="left"/>
    </w:pPr>
    <w:rPr>
      <w:rFonts w:ascii="Interstate-RegularCondensed" w:hAnsi="Interstate-RegularCondensed"/>
      <w:b/>
      <w:color w:val="FFFFFF" w:themeColor="background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1339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397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082BB9"/>
    <w:pPr>
      <w:numPr>
        <w:ilvl w:val="1"/>
      </w:numPr>
      <w:spacing w:after="160"/>
    </w:pPr>
    <w:rPr>
      <w:rFonts w:eastAsiaTheme="minorEastAsia" w:cs="Arial"/>
      <w:color w:val="777777"/>
      <w:spacing w:val="15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BB9"/>
    <w:rPr>
      <w:rFonts w:ascii="Arial" w:eastAsiaTheme="minorEastAsia" w:hAnsi="Arial" w:cs="Arial"/>
      <w:color w:val="777777"/>
      <w:spacing w:val="15"/>
      <w:sz w:val="30"/>
      <w:szCs w:val="30"/>
      <w:lang w:eastAsia="de-DE"/>
    </w:rPr>
  </w:style>
  <w:style w:type="paragraph" w:customStyle="1" w:styleId="HeadTabelle">
    <w:name w:val="Head Tabelle"/>
    <w:basedOn w:val="TabellentextKopfzeile"/>
    <w:qFormat/>
    <w:rsid w:val="00CB57D4"/>
    <w:rPr>
      <w:rFonts w:ascii="Arial" w:hAnsi="Arial" w:cs="Arial"/>
      <w:b w:val="0"/>
      <w:color w:val="13A69C"/>
      <w:sz w:val="24"/>
      <w:szCs w:val="20"/>
    </w:rPr>
  </w:style>
  <w:style w:type="paragraph" w:customStyle="1" w:styleId="Tabellentextnormal">
    <w:name w:val="Tabellentext normal"/>
    <w:basedOn w:val="Tabellentext"/>
    <w:qFormat/>
    <w:rsid w:val="00B667F8"/>
    <w:rPr>
      <w:rFonts w:ascii="Arial" w:hAnsi="Arial" w:cs="Arial"/>
      <w:b w:val="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0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A450C5"/>
    <w:rPr>
      <w:b/>
      <w:bCs/>
    </w:rPr>
  </w:style>
  <w:style w:type="paragraph" w:customStyle="1" w:styleId="UntertitelCheckliste">
    <w:name w:val="Untertitel Checkliste"/>
    <w:basedOn w:val="Untertitel"/>
    <w:qFormat/>
    <w:rsid w:val="00386FF5"/>
    <w:pPr>
      <w:tabs>
        <w:tab w:val="left" w:pos="1871"/>
      </w:tabs>
      <w:spacing w:line="32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3397"/>
    <w:pPr>
      <w:spacing w:after="140" w:line="260" w:lineRule="exact"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A45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3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39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customStyle="1" w:styleId="Tabellentext">
    <w:name w:val="Tabellentext"/>
    <w:basedOn w:val="Textkrper"/>
    <w:link w:val="TabellentextZchn"/>
    <w:autoRedefine/>
    <w:uiPriority w:val="99"/>
    <w:rsid w:val="00F13397"/>
    <w:pPr>
      <w:keepLines/>
      <w:spacing w:before="20" w:line="240" w:lineRule="auto"/>
      <w:jc w:val="left"/>
    </w:pPr>
    <w:rPr>
      <w:rFonts w:ascii="Interstate-RegularCondensed" w:hAnsi="Interstate-RegularCondensed"/>
      <w:b/>
      <w:szCs w:val="24"/>
    </w:rPr>
  </w:style>
  <w:style w:type="character" w:customStyle="1" w:styleId="TabellentextZchn">
    <w:name w:val="Tabellentext Zchn"/>
    <w:basedOn w:val="TextkrperZchn"/>
    <w:link w:val="Tabellentext"/>
    <w:uiPriority w:val="99"/>
    <w:rsid w:val="00F13397"/>
    <w:rPr>
      <w:rFonts w:ascii="Interstate-RegularCondensed" w:eastAsia="Times New Roman" w:hAnsi="Interstate-RegularCondensed" w:cs="Times New Roman"/>
      <w:b/>
      <w:color w:val="000000"/>
      <w:sz w:val="20"/>
      <w:szCs w:val="24"/>
      <w:lang w:eastAsia="de-DE"/>
    </w:rPr>
  </w:style>
  <w:style w:type="table" w:customStyle="1" w:styleId="UBA-TabellenformatThemaGesundheit">
    <w:name w:val="UBA-Tabellenformat Thema &quot;Gesundheit&quot;"/>
    <w:basedOn w:val="NormaleTabelle"/>
    <w:uiPriority w:val="99"/>
    <w:qFormat/>
    <w:rsid w:val="00F13397"/>
    <w:pPr>
      <w:spacing w:after="20" w:line="240" w:lineRule="auto"/>
    </w:pPr>
    <w:rPr>
      <w:rFonts w:ascii="Interstate-RegularCondensed" w:eastAsia="Times New Roman" w:hAnsi="Interstate-RegularCondensed" w:cs="Times New Roman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  <w:tblStylePr w:type="firstRow">
      <w:rPr>
        <w:rFonts w:ascii="Interstate Regular Cond" w:hAnsi="Interstate Regular Cond"/>
        <w:color w:val="auto"/>
        <w:sz w:val="22"/>
      </w:rPr>
      <w:tblPr/>
      <w:trPr>
        <w:tblHeader/>
      </w:trPr>
      <w:tcPr>
        <w:shd w:val="clear" w:color="auto" w:fill="005BAA"/>
      </w:tcPr>
    </w:tblStylePr>
  </w:style>
  <w:style w:type="paragraph" w:customStyle="1" w:styleId="TabellentextKopfzeile">
    <w:name w:val="Tabellentext Kopfzeile"/>
    <w:basedOn w:val="Standard"/>
    <w:autoRedefine/>
    <w:uiPriority w:val="99"/>
    <w:rsid w:val="00F13397"/>
    <w:pPr>
      <w:keepLines/>
      <w:spacing w:after="120" w:line="240" w:lineRule="auto"/>
      <w:jc w:val="left"/>
    </w:pPr>
    <w:rPr>
      <w:rFonts w:ascii="Interstate-RegularCondensed" w:hAnsi="Interstate-RegularCondensed"/>
      <w:b/>
      <w:color w:val="FFFFFF" w:themeColor="background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1339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397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082BB9"/>
    <w:pPr>
      <w:numPr>
        <w:ilvl w:val="1"/>
      </w:numPr>
      <w:spacing w:after="160"/>
    </w:pPr>
    <w:rPr>
      <w:rFonts w:eastAsiaTheme="minorEastAsia" w:cs="Arial"/>
      <w:color w:val="777777"/>
      <w:spacing w:val="15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BB9"/>
    <w:rPr>
      <w:rFonts w:ascii="Arial" w:eastAsiaTheme="minorEastAsia" w:hAnsi="Arial" w:cs="Arial"/>
      <w:color w:val="777777"/>
      <w:spacing w:val="15"/>
      <w:sz w:val="30"/>
      <w:szCs w:val="30"/>
      <w:lang w:eastAsia="de-DE"/>
    </w:rPr>
  </w:style>
  <w:style w:type="paragraph" w:customStyle="1" w:styleId="HeadTabelle">
    <w:name w:val="Head Tabelle"/>
    <w:basedOn w:val="TabellentextKopfzeile"/>
    <w:qFormat/>
    <w:rsid w:val="00CB57D4"/>
    <w:rPr>
      <w:rFonts w:ascii="Arial" w:hAnsi="Arial" w:cs="Arial"/>
      <w:b w:val="0"/>
      <w:color w:val="13A69C"/>
      <w:sz w:val="24"/>
      <w:szCs w:val="20"/>
    </w:rPr>
  </w:style>
  <w:style w:type="paragraph" w:customStyle="1" w:styleId="Tabellentextnormal">
    <w:name w:val="Tabellentext normal"/>
    <w:basedOn w:val="Tabellentext"/>
    <w:qFormat/>
    <w:rsid w:val="00B667F8"/>
    <w:rPr>
      <w:rFonts w:ascii="Arial" w:hAnsi="Arial" w:cs="Arial"/>
      <w:b w:val="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0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A450C5"/>
    <w:rPr>
      <w:b/>
      <w:bCs/>
    </w:rPr>
  </w:style>
  <w:style w:type="paragraph" w:customStyle="1" w:styleId="UntertitelCheckliste">
    <w:name w:val="Untertitel Checkliste"/>
    <w:basedOn w:val="Untertitel"/>
    <w:qFormat/>
    <w:rsid w:val="00386FF5"/>
    <w:pPr>
      <w:tabs>
        <w:tab w:val="left" w:pos="1871"/>
      </w:tabs>
      <w:spacing w:line="32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AAFA0F-929F-4BE4-AE94-8DEFF11A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difu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Böhme</dc:creator>
  <cp:lastModifiedBy>Ehlers</cp:lastModifiedBy>
  <cp:revision>16</cp:revision>
  <dcterms:created xsi:type="dcterms:W3CDTF">2018-12-09T11:42:00Z</dcterms:created>
  <dcterms:modified xsi:type="dcterms:W3CDTF">2019-01-10T14:35:00Z</dcterms:modified>
</cp:coreProperties>
</file>